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90" w:rsidRDefault="00B14615" w:rsidP="00F04D4A">
      <w:pPr>
        <w:jc w:val="center"/>
      </w:pPr>
      <w:bookmarkStart w:id="0" w:name="_GoBack"/>
      <w:bookmarkEnd w:id="0"/>
      <w:r>
        <w:rPr>
          <w:noProof/>
        </w:rPr>
        <w:drawing>
          <wp:inline distT="0" distB="0" distL="0" distR="0">
            <wp:extent cx="1181100" cy="108090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from the b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080904"/>
                    </a:xfrm>
                    <a:prstGeom prst="rect">
                      <a:avLst/>
                    </a:prstGeom>
                  </pic:spPr>
                </pic:pic>
              </a:graphicData>
            </a:graphic>
          </wp:inline>
        </w:drawing>
      </w:r>
    </w:p>
    <w:p w:rsidR="00F04D4A" w:rsidRPr="00AC4797" w:rsidRDefault="00F04D4A" w:rsidP="00F04D4A">
      <w:pPr>
        <w:spacing w:after="0" w:line="240" w:lineRule="auto"/>
        <w:jc w:val="center"/>
        <w:rPr>
          <w:rFonts w:ascii="Rockwell Extra Bold" w:hAnsi="Rockwell Extra Bold"/>
          <w:sz w:val="52"/>
        </w:rPr>
      </w:pPr>
      <w:r w:rsidRPr="00AC4797">
        <w:rPr>
          <w:rFonts w:ascii="Rockwell Extra Bold" w:hAnsi="Rockwell Extra Bold"/>
          <w:sz w:val="52"/>
        </w:rPr>
        <w:t xml:space="preserve">Food from the Bar </w:t>
      </w:r>
    </w:p>
    <w:p w:rsidR="00F04D4A" w:rsidRPr="00AC4797" w:rsidRDefault="007C13DA" w:rsidP="00F04D4A">
      <w:pPr>
        <w:spacing w:after="0" w:line="240" w:lineRule="auto"/>
        <w:jc w:val="center"/>
        <w:rPr>
          <w:rFonts w:ascii="Rockwell Extra Bold" w:hAnsi="Rockwell Extra Bold"/>
          <w:sz w:val="36"/>
        </w:rPr>
      </w:pPr>
      <w:r>
        <w:rPr>
          <w:rFonts w:ascii="Rockwell Extra Bold" w:hAnsi="Rockwell Extra Bold"/>
          <w:sz w:val="36"/>
        </w:rPr>
        <w:t xml:space="preserve">Inaugural </w:t>
      </w:r>
      <w:r w:rsidR="00F04D4A" w:rsidRPr="00AC4797">
        <w:rPr>
          <w:rFonts w:ascii="Rockwell Extra Bold" w:hAnsi="Rockwell Extra Bold"/>
          <w:sz w:val="36"/>
        </w:rPr>
        <w:t xml:space="preserve">Food and Funds Challenge </w:t>
      </w:r>
    </w:p>
    <w:p w:rsidR="00F04D4A" w:rsidRPr="00AC4797" w:rsidRDefault="00F04D4A" w:rsidP="00F04D4A">
      <w:pPr>
        <w:spacing w:after="0" w:line="240" w:lineRule="auto"/>
        <w:jc w:val="center"/>
        <w:rPr>
          <w:rFonts w:ascii="Arial Black" w:hAnsi="Arial Black"/>
          <w:sz w:val="24"/>
        </w:rPr>
      </w:pPr>
    </w:p>
    <w:p w:rsidR="00F04D4A" w:rsidRPr="002D7668" w:rsidRDefault="00EC1382" w:rsidP="002D7668">
      <w:pPr>
        <w:jc w:val="both"/>
        <w:rPr>
          <w:rFonts w:ascii="Georgia" w:hAnsi="Georgia"/>
          <w:spacing w:val="3"/>
          <w:sz w:val="24"/>
          <w:szCs w:val="24"/>
        </w:rPr>
      </w:pPr>
      <w:r w:rsidRPr="002D7668">
        <w:rPr>
          <w:rFonts w:ascii="Georgia" w:hAnsi="Georgia"/>
          <w:spacing w:val="3"/>
          <w:sz w:val="24"/>
          <w:szCs w:val="24"/>
        </w:rPr>
        <w:t>The Association for</w:t>
      </w:r>
      <w:r w:rsidR="00F04D4A" w:rsidRPr="002D7668">
        <w:rPr>
          <w:rFonts w:ascii="Georgia" w:hAnsi="Georgia"/>
          <w:spacing w:val="3"/>
          <w:sz w:val="24"/>
          <w:szCs w:val="24"/>
        </w:rPr>
        <w:t xml:space="preserve"> Women Attorneys, Louisiana Association of Black Women Attorneys, and International Women's Insolvency &amp; Restructuring Confederation </w:t>
      </w:r>
      <w:r w:rsidR="00467D2E" w:rsidRPr="002D7668">
        <w:rPr>
          <w:rFonts w:ascii="Georgia" w:hAnsi="Georgia"/>
          <w:spacing w:val="3"/>
          <w:sz w:val="24"/>
          <w:szCs w:val="24"/>
        </w:rPr>
        <w:t>are hosting the second, annual</w:t>
      </w:r>
      <w:r w:rsidR="00F04D4A" w:rsidRPr="002D7668">
        <w:rPr>
          <w:rFonts w:ascii="Georgia" w:hAnsi="Georgia"/>
          <w:spacing w:val="3"/>
          <w:sz w:val="24"/>
          <w:szCs w:val="24"/>
        </w:rPr>
        <w:t xml:space="preserve"> New Orleans Food from the Bar Campaign. This </w:t>
      </w:r>
      <w:r w:rsidR="00467D2E" w:rsidRPr="002D7668">
        <w:rPr>
          <w:rFonts w:ascii="Georgia" w:hAnsi="Georgia"/>
          <w:spacing w:val="3"/>
          <w:sz w:val="24"/>
          <w:szCs w:val="24"/>
        </w:rPr>
        <w:t>c</w:t>
      </w:r>
      <w:r w:rsidR="00F04D4A" w:rsidRPr="002D7668">
        <w:rPr>
          <w:rFonts w:ascii="Georgia" w:hAnsi="Georgia"/>
          <w:spacing w:val="3"/>
          <w:sz w:val="24"/>
          <w:szCs w:val="24"/>
        </w:rPr>
        <w:t>ampaign is part of a food drive by legal communities across the country, in which participants raise funds for and donate food to local food banks. Generally, the program runs in the spring to replenish food bank supplies in anticipation of higher demand during summer months when children are not in school and therefore not receiving subsidized meals.</w:t>
      </w:r>
    </w:p>
    <w:p w:rsidR="00F04D4A" w:rsidRPr="002D7668" w:rsidRDefault="00F04D4A" w:rsidP="00F04D4A">
      <w:pPr>
        <w:spacing w:after="0" w:line="240" w:lineRule="auto"/>
        <w:jc w:val="center"/>
        <w:rPr>
          <w:rFonts w:ascii="Georgia" w:hAnsi="Georgia"/>
          <w:spacing w:val="2"/>
          <w:sz w:val="28"/>
        </w:rPr>
      </w:pPr>
    </w:p>
    <w:p w:rsidR="00AC4797" w:rsidRPr="002D7668" w:rsidRDefault="007C13DA" w:rsidP="00AC4797">
      <w:pPr>
        <w:spacing w:after="0" w:line="240" w:lineRule="auto"/>
        <w:jc w:val="center"/>
        <w:rPr>
          <w:rFonts w:ascii="Georgia" w:hAnsi="Georgia"/>
          <w:b/>
          <w:spacing w:val="2"/>
          <w:sz w:val="32"/>
          <w:u w:val="single"/>
        </w:rPr>
      </w:pPr>
      <w:r w:rsidRPr="002D7668">
        <w:rPr>
          <w:rFonts w:ascii="Georgia" w:hAnsi="Georgia"/>
          <w:b/>
          <w:spacing w:val="2"/>
          <w:sz w:val="32"/>
          <w:u w:val="single"/>
        </w:rPr>
        <w:t>How it</w:t>
      </w:r>
      <w:r w:rsidR="00AC4797" w:rsidRPr="002D7668">
        <w:rPr>
          <w:rFonts w:ascii="Georgia" w:hAnsi="Georgia"/>
          <w:b/>
          <w:spacing w:val="2"/>
          <w:sz w:val="32"/>
          <w:u w:val="single"/>
        </w:rPr>
        <w:t xml:space="preserve"> work</w:t>
      </w:r>
      <w:r w:rsidRPr="002D7668">
        <w:rPr>
          <w:rFonts w:ascii="Georgia" w:hAnsi="Georgia"/>
          <w:b/>
          <w:spacing w:val="2"/>
          <w:sz w:val="32"/>
          <w:u w:val="single"/>
        </w:rPr>
        <w:t>s</w:t>
      </w:r>
      <w:r w:rsidR="00AC4797" w:rsidRPr="002D7668">
        <w:rPr>
          <w:rFonts w:ascii="Georgia" w:hAnsi="Georgia"/>
          <w:b/>
          <w:spacing w:val="2"/>
          <w:sz w:val="32"/>
          <w:u w:val="single"/>
        </w:rPr>
        <w:t>:</w:t>
      </w:r>
    </w:p>
    <w:p w:rsidR="00F324BF" w:rsidRPr="002D7668" w:rsidRDefault="00F1671E" w:rsidP="002D7668">
      <w:pPr>
        <w:jc w:val="both"/>
        <w:rPr>
          <w:rFonts w:ascii="Georgia" w:hAnsi="Georgia"/>
          <w:sz w:val="24"/>
          <w:szCs w:val="24"/>
        </w:rPr>
      </w:pPr>
      <w:r w:rsidRPr="002D7668">
        <w:rPr>
          <w:rFonts w:ascii="Georgia" w:hAnsi="Georgia"/>
          <w:spacing w:val="3"/>
          <w:sz w:val="24"/>
          <w:szCs w:val="24"/>
        </w:rPr>
        <w:t>W</w:t>
      </w:r>
      <w:r w:rsidR="00F04D4A" w:rsidRPr="002D7668">
        <w:rPr>
          <w:rFonts w:ascii="Georgia" w:hAnsi="Georgia"/>
          <w:spacing w:val="3"/>
          <w:sz w:val="24"/>
          <w:szCs w:val="24"/>
        </w:rPr>
        <w:t xml:space="preserve">e challenge you to participate in a competitive food and </w:t>
      </w:r>
      <w:r w:rsidR="00F04D4A" w:rsidRPr="002D7668">
        <w:rPr>
          <w:rFonts w:ascii="Georgia" w:hAnsi="Georgia"/>
          <w:sz w:val="24"/>
          <w:szCs w:val="24"/>
        </w:rPr>
        <w:t xml:space="preserve">fundraising drive intended to inspire a little healthy competition between our law firms and help </w:t>
      </w:r>
      <w:r w:rsidR="00F04D4A" w:rsidRPr="002D7668">
        <w:rPr>
          <w:rFonts w:ascii="Georgia" w:hAnsi="Georgia"/>
          <w:spacing w:val="3"/>
          <w:sz w:val="24"/>
          <w:szCs w:val="24"/>
        </w:rPr>
        <w:t>raise critical support for the campaign. During the drive, your firm will be awarded points for financial don</w:t>
      </w:r>
      <w:r w:rsidR="007C13DA" w:rsidRPr="002D7668">
        <w:rPr>
          <w:rFonts w:ascii="Georgia" w:hAnsi="Georgia"/>
          <w:spacing w:val="3"/>
          <w:sz w:val="24"/>
          <w:szCs w:val="24"/>
        </w:rPr>
        <w:t>ations and food donations to Second Harvest</w:t>
      </w:r>
      <w:r w:rsidR="00F04D4A" w:rsidRPr="002D7668">
        <w:rPr>
          <w:rFonts w:ascii="Georgia" w:hAnsi="Georgia"/>
          <w:spacing w:val="3"/>
          <w:sz w:val="24"/>
          <w:szCs w:val="24"/>
        </w:rPr>
        <w:t xml:space="preserve"> Food Bank. The Drive </w:t>
      </w:r>
      <w:r w:rsidR="00EC1382" w:rsidRPr="002D7668">
        <w:rPr>
          <w:rFonts w:ascii="Georgia" w:hAnsi="Georgia"/>
          <w:spacing w:val="3"/>
          <w:sz w:val="24"/>
          <w:szCs w:val="24"/>
        </w:rPr>
        <w:t xml:space="preserve">begins with our kickoff celebration </w:t>
      </w:r>
      <w:r w:rsidRPr="002D7668">
        <w:rPr>
          <w:rFonts w:ascii="Georgia" w:hAnsi="Georgia"/>
          <w:spacing w:val="3"/>
          <w:sz w:val="24"/>
          <w:szCs w:val="24"/>
        </w:rPr>
        <w:t xml:space="preserve">on </w:t>
      </w:r>
      <w:r w:rsidRPr="000F0A69">
        <w:rPr>
          <w:rFonts w:ascii="Georgia" w:hAnsi="Georgia"/>
          <w:b/>
          <w:spacing w:val="3"/>
          <w:sz w:val="24"/>
          <w:szCs w:val="24"/>
        </w:rPr>
        <w:t xml:space="preserve">May </w:t>
      </w:r>
      <w:r w:rsidR="00F324BF" w:rsidRPr="000F0A69">
        <w:rPr>
          <w:rFonts w:ascii="Georgia" w:hAnsi="Georgia"/>
          <w:b/>
          <w:spacing w:val="3"/>
          <w:sz w:val="24"/>
          <w:szCs w:val="24"/>
        </w:rPr>
        <w:t>23</w:t>
      </w:r>
      <w:r w:rsidR="00171145" w:rsidRPr="000F0A69">
        <w:rPr>
          <w:rFonts w:ascii="Georgia" w:hAnsi="Georgia"/>
          <w:b/>
          <w:spacing w:val="3"/>
          <w:sz w:val="24"/>
          <w:szCs w:val="24"/>
          <w:vertAlign w:val="superscript"/>
        </w:rPr>
        <w:t>rd</w:t>
      </w:r>
      <w:r w:rsidR="00171145" w:rsidRPr="000F0A69">
        <w:rPr>
          <w:rFonts w:ascii="Georgia" w:hAnsi="Georgia"/>
          <w:b/>
          <w:spacing w:val="3"/>
          <w:sz w:val="24"/>
          <w:szCs w:val="24"/>
        </w:rPr>
        <w:t xml:space="preserve"> </w:t>
      </w:r>
      <w:r w:rsidRPr="000F0A69">
        <w:rPr>
          <w:rFonts w:ascii="Georgia" w:hAnsi="Georgia"/>
          <w:b/>
          <w:spacing w:val="3"/>
          <w:sz w:val="24"/>
          <w:szCs w:val="24"/>
        </w:rPr>
        <w:t xml:space="preserve">and </w:t>
      </w:r>
      <w:r w:rsidR="00F04D4A" w:rsidRPr="000F0A69">
        <w:rPr>
          <w:rFonts w:ascii="Georgia" w:hAnsi="Georgia"/>
          <w:b/>
          <w:spacing w:val="3"/>
          <w:sz w:val="24"/>
          <w:szCs w:val="24"/>
        </w:rPr>
        <w:t xml:space="preserve">ends on </w:t>
      </w:r>
      <w:r w:rsidR="00F324BF" w:rsidRPr="000F0A69">
        <w:rPr>
          <w:rFonts w:ascii="Georgia" w:hAnsi="Georgia"/>
          <w:b/>
          <w:spacing w:val="3"/>
          <w:sz w:val="24"/>
          <w:szCs w:val="24"/>
        </w:rPr>
        <w:t>June 7</w:t>
      </w:r>
      <w:r w:rsidR="00F04D4A" w:rsidRPr="002D7668">
        <w:rPr>
          <w:rFonts w:ascii="Georgia" w:hAnsi="Georgia"/>
          <w:spacing w:val="3"/>
          <w:sz w:val="24"/>
          <w:szCs w:val="24"/>
        </w:rPr>
        <w:t xml:space="preserve"> and the </w:t>
      </w:r>
      <w:r w:rsidR="00F04D4A" w:rsidRPr="002D7668">
        <w:rPr>
          <w:rFonts w:ascii="Georgia" w:hAnsi="Georgia"/>
          <w:spacing w:val="1"/>
          <w:sz w:val="24"/>
          <w:szCs w:val="24"/>
        </w:rPr>
        <w:t xml:space="preserve">firm with the highest score on that day will receive a </w:t>
      </w:r>
      <w:r w:rsidR="00F04D4A" w:rsidRPr="002D7668">
        <w:rPr>
          <w:rFonts w:ascii="Georgia" w:hAnsi="Georgia"/>
          <w:b/>
          <w:spacing w:val="1"/>
          <w:sz w:val="24"/>
          <w:szCs w:val="24"/>
        </w:rPr>
        <w:t>Snowball Day</w:t>
      </w:r>
      <w:r w:rsidR="00F04D4A" w:rsidRPr="002D7668">
        <w:rPr>
          <w:rFonts w:ascii="Georgia" w:hAnsi="Georgia"/>
          <w:spacing w:val="1"/>
          <w:sz w:val="24"/>
          <w:szCs w:val="24"/>
        </w:rPr>
        <w:t xml:space="preserve"> in their office, compliments </w:t>
      </w:r>
      <w:r w:rsidR="00F04D4A" w:rsidRPr="002D7668">
        <w:rPr>
          <w:rFonts w:ascii="Georgia" w:hAnsi="Georgia"/>
          <w:sz w:val="24"/>
          <w:szCs w:val="24"/>
        </w:rPr>
        <w:t xml:space="preserve">of Baker </w:t>
      </w:r>
      <w:proofErr w:type="spellStart"/>
      <w:r w:rsidR="00F04D4A" w:rsidRPr="002D7668">
        <w:rPr>
          <w:rFonts w:ascii="Georgia" w:hAnsi="Georgia"/>
          <w:sz w:val="24"/>
          <w:szCs w:val="24"/>
        </w:rPr>
        <w:t>Donelson</w:t>
      </w:r>
      <w:proofErr w:type="spellEnd"/>
      <w:r w:rsidR="00171145">
        <w:rPr>
          <w:rFonts w:ascii="Georgia" w:hAnsi="Georgia"/>
          <w:sz w:val="24"/>
          <w:szCs w:val="24"/>
        </w:rPr>
        <w:t xml:space="preserve">.  </w:t>
      </w:r>
      <w:r w:rsidR="00F324BF" w:rsidRPr="002D7668">
        <w:rPr>
          <w:rFonts w:ascii="Georgia" w:hAnsi="Georgia"/>
          <w:sz w:val="24"/>
          <w:szCs w:val="24"/>
        </w:rPr>
        <w:t>Consider an intra-firm competition – law school groups versus each other, staff versus attorney, etc.</w:t>
      </w:r>
    </w:p>
    <w:p w:rsidR="00AC4797" w:rsidRPr="002D7668" w:rsidRDefault="00F04D4A" w:rsidP="00AC4797">
      <w:pPr>
        <w:spacing w:after="0" w:line="240" w:lineRule="auto"/>
        <w:jc w:val="center"/>
        <w:rPr>
          <w:rFonts w:ascii="Georgia" w:hAnsi="Georgia"/>
          <w:sz w:val="24"/>
          <w:u w:val="single"/>
        </w:rPr>
      </w:pPr>
      <w:r w:rsidRPr="002D7668">
        <w:rPr>
          <w:rFonts w:ascii="Georgia" w:hAnsi="Georgia"/>
          <w:b/>
          <w:w w:val="105"/>
          <w:sz w:val="28"/>
          <w:u w:val="single"/>
        </w:rPr>
        <w:t>Scoring</w:t>
      </w:r>
      <w:r w:rsidR="00AC4797" w:rsidRPr="002D7668">
        <w:rPr>
          <w:rFonts w:ascii="Georgia" w:hAnsi="Georgia"/>
          <w:b/>
          <w:w w:val="105"/>
          <w:sz w:val="28"/>
          <w:u w:val="single"/>
        </w:rPr>
        <w:t>:</w:t>
      </w:r>
    </w:p>
    <w:p w:rsidR="00AC4797" w:rsidRPr="002D7668" w:rsidRDefault="00F04D4A" w:rsidP="00AC4797">
      <w:pPr>
        <w:spacing w:after="0" w:line="240" w:lineRule="auto"/>
        <w:jc w:val="center"/>
        <w:rPr>
          <w:rFonts w:ascii="Georgia" w:hAnsi="Georgia"/>
          <w:sz w:val="24"/>
        </w:rPr>
      </w:pPr>
      <w:r w:rsidRPr="002D7668">
        <w:rPr>
          <w:rFonts w:ascii="Georgia" w:hAnsi="Georgia"/>
          <w:spacing w:val="28"/>
          <w:sz w:val="28"/>
        </w:rPr>
        <w:t>$1 donated = 1 point</w:t>
      </w:r>
    </w:p>
    <w:p w:rsidR="00F04D4A" w:rsidRPr="002D7668" w:rsidRDefault="00F04D4A" w:rsidP="00AC4797">
      <w:pPr>
        <w:spacing w:after="0" w:line="240" w:lineRule="auto"/>
        <w:jc w:val="center"/>
        <w:rPr>
          <w:rFonts w:ascii="Georgia" w:hAnsi="Georgia"/>
          <w:spacing w:val="20"/>
          <w:sz w:val="28"/>
        </w:rPr>
      </w:pPr>
      <w:r w:rsidRPr="002D7668">
        <w:rPr>
          <w:rFonts w:ascii="Georgia" w:hAnsi="Georgia"/>
          <w:spacing w:val="20"/>
          <w:sz w:val="28"/>
        </w:rPr>
        <w:t>5 pounds of food donated = 1 point</w:t>
      </w:r>
    </w:p>
    <w:p w:rsidR="00F324BF" w:rsidRPr="002D7668" w:rsidRDefault="00F324BF" w:rsidP="00AC4797">
      <w:pPr>
        <w:spacing w:after="0" w:line="240" w:lineRule="auto"/>
        <w:jc w:val="center"/>
        <w:rPr>
          <w:rFonts w:ascii="Georgia" w:hAnsi="Georgia"/>
          <w:spacing w:val="20"/>
          <w:sz w:val="28"/>
        </w:rPr>
      </w:pPr>
    </w:p>
    <w:p w:rsidR="00AC4797" w:rsidRPr="002D7668" w:rsidRDefault="00AC4797" w:rsidP="002D7668">
      <w:pPr>
        <w:spacing w:before="216"/>
        <w:jc w:val="center"/>
        <w:rPr>
          <w:rFonts w:ascii="Georgia" w:hAnsi="Georgia"/>
          <w:sz w:val="24"/>
          <w:szCs w:val="24"/>
        </w:rPr>
      </w:pPr>
      <w:r w:rsidRPr="002D7668">
        <w:rPr>
          <w:rFonts w:ascii="Georgia" w:hAnsi="Georgia"/>
          <w:spacing w:val="3"/>
          <w:sz w:val="24"/>
          <w:szCs w:val="24"/>
        </w:rPr>
        <w:t xml:space="preserve">We encourage you to participate in this important program. Too many children in our </w:t>
      </w:r>
      <w:r w:rsidRPr="002D7668">
        <w:rPr>
          <w:rFonts w:ascii="Georgia" w:hAnsi="Georgia"/>
          <w:sz w:val="24"/>
          <w:szCs w:val="24"/>
        </w:rPr>
        <w:t>area are missing critical nutrition during the summer and</w:t>
      </w:r>
      <w:r w:rsidRPr="002D7668">
        <w:rPr>
          <w:rFonts w:ascii="Georgia" w:hAnsi="Georgia"/>
          <w:i/>
          <w:iCs/>
          <w:sz w:val="24"/>
          <w:szCs w:val="24"/>
        </w:rPr>
        <w:t xml:space="preserve"> Food </w:t>
      </w:r>
      <w:proofErr w:type="gramStart"/>
      <w:r w:rsidRPr="002D7668">
        <w:rPr>
          <w:rFonts w:ascii="Georgia" w:hAnsi="Georgia"/>
          <w:i/>
          <w:iCs/>
          <w:sz w:val="24"/>
          <w:szCs w:val="24"/>
        </w:rPr>
        <w:t>From</w:t>
      </w:r>
      <w:proofErr w:type="gramEnd"/>
      <w:r w:rsidRPr="002D7668">
        <w:rPr>
          <w:rFonts w:ascii="Georgia" w:hAnsi="Georgia"/>
          <w:i/>
          <w:iCs/>
          <w:sz w:val="24"/>
          <w:szCs w:val="24"/>
        </w:rPr>
        <w:t xml:space="preserve"> the Bar</w:t>
      </w:r>
      <w:r w:rsidR="007C13DA" w:rsidRPr="002D7668">
        <w:rPr>
          <w:rFonts w:ascii="Georgia" w:hAnsi="Georgia"/>
          <w:sz w:val="24"/>
          <w:szCs w:val="24"/>
        </w:rPr>
        <w:t xml:space="preserve"> can help</w:t>
      </w:r>
      <w:r w:rsidRPr="002D7668">
        <w:rPr>
          <w:rFonts w:ascii="Georgia" w:hAnsi="Georgia"/>
          <w:sz w:val="24"/>
          <w:szCs w:val="24"/>
        </w:rPr>
        <w:t xml:space="preserve"> fill that need.</w:t>
      </w:r>
    </w:p>
    <w:p w:rsidR="00B14615" w:rsidRPr="002D7668" w:rsidRDefault="007C13DA" w:rsidP="00B14615">
      <w:pPr>
        <w:spacing w:before="216"/>
        <w:jc w:val="center"/>
        <w:rPr>
          <w:rFonts w:ascii="Georgia" w:hAnsi="Georgia"/>
          <w:sz w:val="24"/>
          <w:szCs w:val="24"/>
        </w:rPr>
      </w:pPr>
      <w:r w:rsidRPr="002D7668">
        <w:rPr>
          <w:rFonts w:ascii="Georgia" w:hAnsi="Georgia"/>
          <w:sz w:val="24"/>
          <w:szCs w:val="24"/>
        </w:rPr>
        <w:t>Second Harvest will collect f</w:t>
      </w:r>
      <w:r w:rsidR="00AC4797" w:rsidRPr="002D7668">
        <w:rPr>
          <w:rFonts w:ascii="Georgia" w:hAnsi="Georgia"/>
          <w:sz w:val="24"/>
          <w:szCs w:val="24"/>
        </w:rPr>
        <w:t>ood</w:t>
      </w:r>
      <w:r w:rsidR="00F324BF" w:rsidRPr="002D7668">
        <w:rPr>
          <w:rFonts w:ascii="Georgia" w:hAnsi="Georgia"/>
          <w:sz w:val="24"/>
          <w:szCs w:val="24"/>
        </w:rPr>
        <w:t xml:space="preserve"> and funds from each firm the week of June 10</w:t>
      </w:r>
      <w:r w:rsidR="00AC4797" w:rsidRPr="002D7668">
        <w:rPr>
          <w:rFonts w:ascii="Georgia" w:hAnsi="Georgia"/>
          <w:sz w:val="24"/>
          <w:szCs w:val="24"/>
        </w:rPr>
        <w:t>. Please make checks payable to Se</w:t>
      </w:r>
      <w:r w:rsidRPr="002D7668">
        <w:rPr>
          <w:rFonts w:ascii="Georgia" w:hAnsi="Georgia"/>
          <w:sz w:val="24"/>
          <w:szCs w:val="24"/>
        </w:rPr>
        <w:t>cond Harvest Food Bank. C</w:t>
      </w:r>
      <w:r w:rsidR="00AC4797" w:rsidRPr="002D7668">
        <w:rPr>
          <w:rFonts w:ascii="Georgia" w:hAnsi="Georgia"/>
          <w:sz w:val="24"/>
          <w:szCs w:val="24"/>
        </w:rPr>
        <w:t xml:space="preserve">ontact </w:t>
      </w:r>
      <w:r w:rsidR="00467D2E" w:rsidRPr="002D7668">
        <w:rPr>
          <w:rFonts w:ascii="Georgia" w:hAnsi="Georgia"/>
          <w:sz w:val="24"/>
          <w:szCs w:val="24"/>
        </w:rPr>
        <w:t xml:space="preserve">Kathryn </w:t>
      </w:r>
      <w:proofErr w:type="spellStart"/>
      <w:r w:rsidR="00467D2E" w:rsidRPr="002D7668">
        <w:rPr>
          <w:rFonts w:ascii="Georgia" w:hAnsi="Georgia"/>
          <w:sz w:val="24"/>
          <w:szCs w:val="24"/>
        </w:rPr>
        <w:t>Gsell</w:t>
      </w:r>
      <w:proofErr w:type="spellEnd"/>
      <w:r w:rsidR="00AC4797" w:rsidRPr="002D7668">
        <w:rPr>
          <w:rFonts w:ascii="Georgia" w:hAnsi="Georgia"/>
          <w:sz w:val="24"/>
          <w:szCs w:val="24"/>
        </w:rPr>
        <w:t xml:space="preserve"> at Second Harvest with any questions you may have: </w:t>
      </w:r>
      <w:hyperlink r:id="rId10" w:history="1">
        <w:r w:rsidR="00467D2E" w:rsidRPr="002D7668">
          <w:rPr>
            <w:rStyle w:val="Hyperlink"/>
            <w:rFonts w:ascii="Georgia" w:hAnsi="Georgia"/>
            <w:sz w:val="24"/>
            <w:szCs w:val="24"/>
          </w:rPr>
          <w:t>kgsell@secondharvest.org</w:t>
        </w:r>
      </w:hyperlink>
      <w:r w:rsidR="00AC4797" w:rsidRPr="002D7668">
        <w:rPr>
          <w:rFonts w:ascii="Georgia" w:hAnsi="Georgia"/>
          <w:sz w:val="24"/>
          <w:szCs w:val="24"/>
        </w:rPr>
        <w:t xml:space="preserve"> or 504-729-</w:t>
      </w:r>
      <w:r w:rsidR="00467D2E" w:rsidRPr="002D7668">
        <w:rPr>
          <w:rFonts w:ascii="Georgia" w:hAnsi="Georgia"/>
          <w:sz w:val="24"/>
          <w:szCs w:val="24"/>
        </w:rPr>
        <w:t>2820</w:t>
      </w:r>
      <w:r w:rsidR="00AC4797" w:rsidRPr="002D7668">
        <w:rPr>
          <w:rFonts w:ascii="Georgia" w:hAnsi="Georgia"/>
          <w:sz w:val="24"/>
          <w:szCs w:val="24"/>
        </w:rPr>
        <w:t xml:space="preserve">. </w:t>
      </w:r>
    </w:p>
    <w:p w:rsidR="00F04D4A" w:rsidRPr="00F04D4A" w:rsidRDefault="00B14615" w:rsidP="00F04D4A">
      <w:pPr>
        <w:spacing w:after="0" w:line="240" w:lineRule="auto"/>
        <w:jc w:val="center"/>
        <w:rPr>
          <w:spacing w:val="2"/>
          <w:sz w:val="28"/>
        </w:rPr>
      </w:pPr>
      <w:r>
        <w:rPr>
          <w:noProof/>
        </w:rPr>
        <w:drawing>
          <wp:inline distT="0" distB="0" distL="0" distR="0" wp14:anchorId="3769D21A" wp14:editId="71AE022A">
            <wp:extent cx="2743200" cy="76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color.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42999" cy="767319"/>
                    </a:xfrm>
                    <a:prstGeom prst="rect">
                      <a:avLst/>
                    </a:prstGeom>
                    <a:ln>
                      <a:noFill/>
                    </a:ln>
                    <a:extLst>
                      <a:ext uri="{53640926-AAD7-44D8-BBD7-CCE9431645EC}">
                        <a14:shadowObscured xmlns:a14="http://schemas.microsoft.com/office/drawing/2010/main"/>
                      </a:ext>
                    </a:extLst>
                  </pic:spPr>
                </pic:pic>
              </a:graphicData>
            </a:graphic>
          </wp:inline>
        </w:drawing>
      </w:r>
      <w:r w:rsidR="00F04D4A">
        <w:rPr>
          <w:spacing w:val="2"/>
          <w:sz w:val="28"/>
        </w:rPr>
        <w:t xml:space="preserve"> </w:t>
      </w:r>
    </w:p>
    <w:sectPr w:rsidR="00F04D4A" w:rsidRPr="00F04D4A" w:rsidSect="00AC479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15" w:rsidRDefault="00B14615">
      <w:pPr>
        <w:spacing w:after="0" w:line="240" w:lineRule="auto"/>
      </w:pPr>
      <w:r>
        <w:separator/>
      </w:r>
    </w:p>
  </w:endnote>
  <w:endnote w:type="continuationSeparator" w:id="0">
    <w:p w:rsidR="00B14615" w:rsidRDefault="00B1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45" w:rsidRDefault="00171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45" w:rsidRPr="00171145" w:rsidRDefault="000F0A69">
    <w:pPr>
      <w:pStyle w:val="Footer"/>
    </w:pPr>
    <w:r w:rsidRPr="000F0A69">
      <w:rPr>
        <w:noProof/>
      </w:rPr>
      <w:t>{00216227-1}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45" w:rsidRDefault="00171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15" w:rsidRDefault="00B14615">
      <w:pPr>
        <w:spacing w:after="0" w:line="240" w:lineRule="auto"/>
        <w:rPr>
          <w:noProof/>
        </w:rPr>
      </w:pPr>
      <w:r>
        <w:rPr>
          <w:noProof/>
        </w:rPr>
        <w:separator/>
      </w:r>
    </w:p>
  </w:footnote>
  <w:footnote w:type="continuationSeparator" w:id="0">
    <w:p w:rsidR="00B14615" w:rsidRDefault="00B14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45" w:rsidRDefault="00171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45" w:rsidRDefault="00171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45" w:rsidRDefault="00171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767"/>
    <w:multiLevelType w:val="singleLevel"/>
    <w:tmpl w:val="5E65360C"/>
    <w:lvl w:ilvl="0">
      <w:numFmt w:val="bullet"/>
      <w:lvlText w:val="·"/>
      <w:lvlJc w:val="left"/>
      <w:pPr>
        <w:tabs>
          <w:tab w:val="num" w:pos="792"/>
        </w:tabs>
        <w:ind w:left="720"/>
      </w:pPr>
      <w:rPr>
        <w:rFonts w:ascii="Symbol" w:hAnsi="Symbol" w:cs="Symbol"/>
        <w:snapToGrid/>
        <w:spacing w:val="28"/>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4A"/>
    <w:rsid w:val="000039D4"/>
    <w:rsid w:val="000F0A69"/>
    <w:rsid w:val="000F7F49"/>
    <w:rsid w:val="00171145"/>
    <w:rsid w:val="002D7668"/>
    <w:rsid w:val="00467D2E"/>
    <w:rsid w:val="007C13DA"/>
    <w:rsid w:val="00AC4797"/>
    <w:rsid w:val="00B14615"/>
    <w:rsid w:val="00EC1382"/>
    <w:rsid w:val="00F04D4A"/>
    <w:rsid w:val="00F1671E"/>
    <w:rsid w:val="00F324BF"/>
    <w:rsid w:val="00F8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D4A"/>
    <w:rPr>
      <w:rFonts w:ascii="Tahoma" w:hAnsi="Tahoma" w:cs="Tahoma"/>
      <w:sz w:val="16"/>
      <w:szCs w:val="16"/>
    </w:rPr>
  </w:style>
  <w:style w:type="character" w:styleId="Hyperlink">
    <w:name w:val="Hyperlink"/>
    <w:basedOn w:val="DefaultParagraphFont"/>
    <w:uiPriority w:val="99"/>
    <w:unhideWhenUsed/>
    <w:rsid w:val="00AC4797"/>
    <w:rPr>
      <w:color w:val="0000FF" w:themeColor="hyperlink"/>
      <w:u w:val="single"/>
    </w:rPr>
  </w:style>
  <w:style w:type="paragraph" w:styleId="Header">
    <w:name w:val="header"/>
    <w:basedOn w:val="Normal"/>
    <w:link w:val="HeaderChar"/>
    <w:uiPriority w:val="99"/>
    <w:unhideWhenUsed/>
    <w:rsid w:val="00171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145"/>
  </w:style>
  <w:style w:type="paragraph" w:styleId="Footer">
    <w:name w:val="footer"/>
    <w:basedOn w:val="Normal"/>
    <w:link w:val="FooterChar"/>
    <w:uiPriority w:val="99"/>
    <w:unhideWhenUsed/>
    <w:rsid w:val="00171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D4A"/>
    <w:rPr>
      <w:rFonts w:ascii="Tahoma" w:hAnsi="Tahoma" w:cs="Tahoma"/>
      <w:sz w:val="16"/>
      <w:szCs w:val="16"/>
    </w:rPr>
  </w:style>
  <w:style w:type="character" w:styleId="Hyperlink">
    <w:name w:val="Hyperlink"/>
    <w:basedOn w:val="DefaultParagraphFont"/>
    <w:uiPriority w:val="99"/>
    <w:unhideWhenUsed/>
    <w:rsid w:val="00AC4797"/>
    <w:rPr>
      <w:color w:val="0000FF" w:themeColor="hyperlink"/>
      <w:u w:val="single"/>
    </w:rPr>
  </w:style>
  <w:style w:type="paragraph" w:styleId="Header">
    <w:name w:val="header"/>
    <w:basedOn w:val="Normal"/>
    <w:link w:val="HeaderChar"/>
    <w:uiPriority w:val="99"/>
    <w:unhideWhenUsed/>
    <w:rsid w:val="00171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145"/>
  </w:style>
  <w:style w:type="paragraph" w:styleId="Footer">
    <w:name w:val="footer"/>
    <w:basedOn w:val="Normal"/>
    <w:link w:val="FooterChar"/>
    <w:uiPriority w:val="99"/>
    <w:unhideWhenUsed/>
    <w:rsid w:val="00171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gsell@secondharvest.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25F8-7868-40BB-8751-E3556C1D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4</DocSecurity>
  <PresentationFormat/>
  <Lines>13</Lines>
  <Paragraphs>3</Paragraphs>
  <ScaleCrop>false</ScaleCrop>
  <HeadingPairs>
    <vt:vector size="2" baseType="variant">
      <vt:variant>
        <vt:lpstr>Title</vt:lpstr>
      </vt:variant>
      <vt:variant>
        <vt:i4>1</vt:i4>
      </vt:variant>
    </vt:vector>
  </HeadingPairs>
  <TitlesOfParts>
    <vt:vector size="1" baseType="lpstr">
      <vt:lpstr>Sessions, Fishman, Nathan &amp; Israel, L.L.P.</vt:lpstr>
    </vt:vector>
  </TitlesOfParts>
  <Company>Feeding America</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 Fishman, Nathan &amp; Israel, L.L.P.</dc:title>
  <dc:subject>00216227-1</dc:subject>
  <dc:creator>Geneva Marney</dc:creator>
  <cp:lastModifiedBy>Kelly Barbier</cp:lastModifiedBy>
  <cp:revision>2</cp:revision>
  <cp:lastPrinted>2013-04-12T22:12:00Z</cp:lastPrinted>
  <dcterms:created xsi:type="dcterms:W3CDTF">2013-04-23T18:27:00Z</dcterms:created>
  <dcterms:modified xsi:type="dcterms:W3CDTF">2013-04-23T18:27:00Z</dcterms:modified>
</cp:coreProperties>
</file>